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bookmarkStart w:name="Page 1" w:id="1"/>
      <w:bookmarkEnd w:id="1"/>
      <w:r>
        <w:rPr>
          <w:b w:val="0"/>
        </w:rPr>
      </w:r>
      <w:r>
        <w:rPr/>
        <w:t>Attachment: TD Overview Template</w:t>
      </w:r>
    </w:p>
    <w:p>
      <w:pPr>
        <w:pStyle w:val="BodyText"/>
        <w:rPr>
          <w:b/>
          <w:sz w:val="26"/>
        </w:rPr>
      </w:pPr>
    </w:p>
    <w:p>
      <w:pPr>
        <w:pStyle w:val="BodyText"/>
        <w:spacing w:before="6"/>
        <w:rPr>
          <w:b/>
          <w:sz w:val="21"/>
        </w:rPr>
      </w:pPr>
    </w:p>
    <w:p>
      <w:pPr>
        <w:spacing w:before="0"/>
        <w:ind w:left="119" w:right="89" w:firstLine="0"/>
        <w:jc w:val="left"/>
        <w:rPr>
          <w:sz w:val="24"/>
        </w:rPr>
      </w:pPr>
      <w:r>
        <w:rPr>
          <w:sz w:val="24"/>
        </w:rPr>
        <w:t>The </w:t>
      </w:r>
      <w:r>
        <w:rPr>
          <w:b/>
          <w:sz w:val="24"/>
        </w:rPr>
        <w:t>TD Overview Template </w:t>
      </w:r>
      <w:r>
        <w:rPr>
          <w:sz w:val="24"/>
        </w:rPr>
        <w:t>provides clients with a brief description of TD’s mission, service offerings and recent accomplishments.  It is provided as an attachment to the Project Proposal.</w:t>
      </w:r>
    </w:p>
    <w:p>
      <w:pPr>
        <w:spacing w:after="0"/>
        <w:jc w:val="left"/>
        <w:rPr>
          <w:sz w:val="24"/>
        </w:rPr>
        <w:sectPr>
          <w:type w:val="continuous"/>
          <w:pgSz w:w="12240" w:h="15840"/>
          <w:pgMar w:top="1360" w:bottom="280" w:left="1320" w:right="1560"/>
        </w:sectPr>
      </w:pPr>
    </w:p>
    <w:p>
      <w:pPr>
        <w:spacing w:before="79"/>
        <w:ind w:left="2748" w:right="0" w:firstLine="0"/>
        <w:jc w:val="left"/>
        <w:rPr>
          <w:b/>
          <w:sz w:val="24"/>
        </w:rPr>
      </w:pPr>
      <w:bookmarkStart w:name="Page 2 - TD Overview 081015" w:id="2"/>
      <w:bookmarkEnd w:id="2"/>
      <w:r>
        <w:rPr/>
      </w:r>
      <w:r>
        <w:rPr>
          <w:b/>
          <w:sz w:val="24"/>
        </w:rPr>
        <w:t>About the Telecommunications Division</w:t>
      </w:r>
    </w:p>
    <w:p>
      <w:pPr>
        <w:pStyle w:val="BodyText"/>
        <w:spacing w:before="5"/>
        <w:rPr>
          <w:b/>
          <w:sz w:val="27"/>
        </w:rPr>
      </w:pPr>
    </w:p>
    <w:p>
      <w:pPr>
        <w:pStyle w:val="BodyText"/>
        <w:ind w:left="120"/>
      </w:pPr>
      <w:r>
        <w:rPr/>
        <w:t>The </w:t>
      </w:r>
      <w:r>
        <w:rPr>
          <w:b/>
        </w:rPr>
        <w:t>Telecommunications Division (TD) </w:t>
      </w:r>
      <w:r>
        <w:rPr/>
        <w:t>is responsible for the design, implementation, operation, maintenance and evolution of central voice, video, security and data networks. These high performing networks are critical utilities and are fundamental to the success of teaching, research and outreach. Our goal is to provide seamless and pervasive telecommunications for the university community. TD is a division of the Office of Information Technology (OIT), and is comprised of the following three teams:</w:t>
      </w:r>
    </w:p>
    <w:p>
      <w:pPr>
        <w:pStyle w:val="BodyText"/>
        <w:spacing w:before="11"/>
        <w:rPr>
          <w:sz w:val="21"/>
        </w:rPr>
      </w:pPr>
    </w:p>
    <w:p>
      <w:pPr>
        <w:pStyle w:val="BodyText"/>
        <w:ind w:left="120" w:right="185"/>
      </w:pPr>
      <w:r>
        <w:rPr/>
        <w:t>The </w:t>
      </w:r>
      <w:r>
        <w:rPr>
          <w:b/>
        </w:rPr>
        <w:t>Network Installation and Voice Services </w:t>
      </w:r>
      <w:r>
        <w:rPr/>
        <w:t>group provides design, installation and repair services for voice, video and data cabling systems, and provides equipment/server room design and installation services as well as construction management for renovation and new buildings construction.</w:t>
      </w:r>
    </w:p>
    <w:p>
      <w:pPr>
        <w:pStyle w:val="BodyText"/>
      </w:pPr>
    </w:p>
    <w:p>
      <w:pPr>
        <w:pStyle w:val="BodyText"/>
        <w:ind w:left="119" w:right="115"/>
        <w:jc w:val="both"/>
      </w:pPr>
      <w:r>
        <w:rPr/>
        <w:t>The </w:t>
      </w:r>
      <w:r>
        <w:rPr>
          <w:b/>
        </w:rPr>
        <w:t>Outside Plant and Documentation (OSP&amp;D) </w:t>
      </w:r>
      <w:r>
        <w:rPr/>
        <w:t>group provides planning, design, installation and maintenance services for the outside plant distribution system. OSP&amp;D also develops and maintains the documentation required to manage the communications-cabling infrastructure. There is a significant amount of Outside Plant at the University.</w:t>
      </w:r>
    </w:p>
    <w:p>
      <w:pPr>
        <w:pStyle w:val="BodyText"/>
      </w:pPr>
    </w:p>
    <w:p>
      <w:pPr>
        <w:pStyle w:val="BodyText"/>
        <w:ind w:left="119" w:right="314"/>
      </w:pPr>
      <w:r>
        <w:rPr/>
        <w:t>The </w:t>
      </w:r>
      <w:r>
        <w:rPr>
          <w:b/>
        </w:rPr>
        <w:t>Network Operations, Architecture and Security Group </w:t>
      </w:r>
      <w:r>
        <w:rPr/>
        <w:t>oversees the day-to-day operation of the data and video infrastructure for the university, develops the overall architecture of the data network, maintains an overall security posture for the University and manages the Internet/Internet 2 connections for the University.</w:t>
      </w:r>
    </w:p>
    <w:p>
      <w:pPr>
        <w:pStyle w:val="BodyText"/>
        <w:spacing w:before="5"/>
      </w:pPr>
    </w:p>
    <w:p>
      <w:pPr>
        <w:spacing w:line="251" w:lineRule="exact" w:before="0"/>
        <w:ind w:left="119" w:right="0" w:firstLine="0"/>
        <w:jc w:val="left"/>
        <w:rPr>
          <w:b/>
          <w:sz w:val="22"/>
        </w:rPr>
      </w:pPr>
      <w:r>
        <w:rPr>
          <w:b/>
          <w:sz w:val="22"/>
        </w:rPr>
        <w:t>Achievements:</w:t>
      </w:r>
    </w:p>
    <w:p>
      <w:pPr>
        <w:pStyle w:val="BodyText"/>
        <w:ind w:left="119" w:right="155"/>
      </w:pPr>
      <w:r>
        <w:rPr/>
        <w:t>TD has a very successful track record of providing high quality, state-of-the-industry solutions.  Please see </w:t>
      </w:r>
      <w:hyperlink r:id="rId5">
        <w:r>
          <w:rPr>
            <w:color w:val="0000FF"/>
            <w:u w:val="single" w:color="0000FF"/>
          </w:rPr>
          <w:t>http://www.td.rutgers.edu </w:t>
        </w:r>
      </w:hyperlink>
      <w:r>
        <w:rPr/>
        <w:t>for more information about the Division and its operations, design services, implementations and services.</w:t>
      </w:r>
    </w:p>
    <w:p>
      <w:pPr>
        <w:spacing w:after="0"/>
        <w:sectPr>
          <w:pgSz w:w="12240" w:h="15840"/>
          <w:pgMar w:top="1360" w:bottom="280" w:left="1320" w:right="1320"/>
        </w:sectPr>
      </w:pPr>
    </w:p>
    <w:p>
      <w:pPr>
        <w:pStyle w:val="BodyText"/>
        <w:spacing w:before="3"/>
        <w:rPr>
          <w:sz w:val="18"/>
        </w:rPr>
      </w:pPr>
    </w:p>
    <w:p>
      <w:pPr>
        <w:spacing w:after="0"/>
        <w:rPr>
          <w:sz w:val="18"/>
        </w:rPr>
        <w:sectPr>
          <w:pgSz w:w="12240" w:h="15840"/>
          <w:pgMar w:top="1480" w:bottom="280" w:left="1280" w:right="1280"/>
        </w:sectPr>
      </w:pPr>
    </w:p>
    <w:p>
      <w:pPr>
        <w:spacing w:line="307" w:lineRule="auto" w:before="94"/>
        <w:ind w:left="3932" w:right="850" w:firstLine="0"/>
        <w:jc w:val="left"/>
        <w:rPr>
          <w:sz w:val="15"/>
        </w:rPr>
      </w:pPr>
      <w:r>
        <w:rPr/>
        <w:drawing>
          <wp:anchor distT="0" distB="0" distL="0" distR="0" allowOverlap="1" layoutInCell="1" locked="0" behindDoc="0" simplePos="0" relativeHeight="1048">
            <wp:simplePos x="0" y="0"/>
            <wp:positionH relativeFrom="page">
              <wp:posOffset>914400</wp:posOffset>
            </wp:positionH>
            <wp:positionV relativeFrom="paragraph">
              <wp:posOffset>-137389</wp:posOffset>
            </wp:positionV>
            <wp:extent cx="1600835" cy="734694"/>
            <wp:effectExtent l="0" t="0" r="0" b="0"/>
            <wp:wrapNone/>
            <wp:docPr id="1" name="image1.jpeg" descr="RU_SIG_OIT_CMYK_S"/>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00835" cy="734694"/>
                    </a:xfrm>
                    <a:prstGeom prst="rect">
                      <a:avLst/>
                    </a:prstGeom>
                  </pic:spPr>
                </pic:pic>
              </a:graphicData>
            </a:graphic>
          </wp:anchor>
        </w:drawing>
      </w:r>
      <w:bookmarkStart w:name="Page 3 - Telecommunications Service and " w:id="3"/>
      <w:bookmarkEnd w:id="3"/>
      <w:r>
        <w:rPr/>
      </w:r>
      <w:r>
        <w:rPr>
          <w:sz w:val="15"/>
        </w:rPr>
        <w:t>Telecommunications Division Hill Center</w:t>
      </w:r>
    </w:p>
    <w:p>
      <w:pPr>
        <w:spacing w:line="304" w:lineRule="auto" w:before="1"/>
        <w:ind w:left="3932" w:right="-16" w:firstLine="0"/>
        <w:jc w:val="left"/>
        <w:rPr>
          <w:sz w:val="15"/>
        </w:rPr>
      </w:pPr>
      <w:r>
        <w:rPr>
          <w:sz w:val="15"/>
        </w:rPr>
        <w:t>Rutgers, The State University of New Jersey 110 Frelinghuysen Road</w:t>
      </w:r>
    </w:p>
    <w:p>
      <w:pPr>
        <w:spacing w:before="3"/>
        <w:ind w:left="3932" w:right="0" w:firstLine="0"/>
        <w:jc w:val="left"/>
        <w:rPr>
          <w:sz w:val="15"/>
        </w:rPr>
      </w:pPr>
      <w:r>
        <w:rPr>
          <w:sz w:val="15"/>
        </w:rPr>
        <w:t>Piscataway, NJ 08854</w:t>
      </w:r>
    </w:p>
    <w:p>
      <w:pPr>
        <w:spacing w:line="307" w:lineRule="auto" w:before="94"/>
        <w:ind w:left="160" w:right="356" w:firstLine="0"/>
        <w:jc w:val="left"/>
        <w:rPr>
          <w:sz w:val="15"/>
        </w:rPr>
      </w:pPr>
      <w:r>
        <w:rPr/>
        <w:br w:type="column"/>
      </w:r>
      <w:hyperlink r:id="rId5">
        <w:r>
          <w:rPr>
            <w:sz w:val="15"/>
          </w:rPr>
          <w:t>www.td.rutgers.edu</w:t>
        </w:r>
      </w:hyperlink>
      <w:r>
        <w:rPr>
          <w:sz w:val="15"/>
        </w:rPr>
        <w:t> 848-445-7541</w:t>
      </w:r>
    </w:p>
    <w:p>
      <w:pPr>
        <w:spacing w:before="1"/>
        <w:ind w:left="160" w:right="0" w:firstLine="0"/>
        <w:jc w:val="left"/>
        <w:rPr>
          <w:sz w:val="15"/>
        </w:rPr>
      </w:pPr>
      <w:r>
        <w:rPr>
          <w:sz w:val="15"/>
        </w:rPr>
        <w:t>Fax: 732-445-2968</w:t>
      </w:r>
    </w:p>
    <w:p>
      <w:pPr>
        <w:spacing w:after="0"/>
        <w:jc w:val="left"/>
        <w:rPr>
          <w:sz w:val="15"/>
        </w:rPr>
        <w:sectPr>
          <w:type w:val="continuous"/>
          <w:pgSz w:w="12240" w:h="15840"/>
          <w:pgMar w:top="1360" w:bottom="280" w:left="1280" w:right="1280"/>
          <w:cols w:num="2" w:equalWidth="0">
            <w:col w:w="6615" w:space="1357"/>
            <w:col w:w="1708"/>
          </w:cols>
        </w:sectPr>
      </w:pPr>
    </w:p>
    <w:p>
      <w:pPr>
        <w:pStyle w:val="BodyText"/>
        <w:rPr>
          <w:sz w:val="20"/>
        </w:rPr>
      </w:pPr>
    </w:p>
    <w:p>
      <w:pPr>
        <w:pStyle w:val="BodyText"/>
        <w:rPr>
          <w:sz w:val="20"/>
        </w:rPr>
      </w:pPr>
    </w:p>
    <w:p>
      <w:pPr>
        <w:pStyle w:val="BodyText"/>
        <w:spacing w:before="8"/>
        <w:rPr>
          <w:sz w:val="21"/>
        </w:rPr>
      </w:pPr>
    </w:p>
    <w:p>
      <w:pPr>
        <w:pStyle w:val="Heading1"/>
        <w:spacing w:before="90"/>
        <w:ind w:left="2125"/>
      </w:pPr>
      <w:r>
        <w:rPr/>
        <w:t>Telecommunications Service and Billing Information</w:t>
      </w:r>
    </w:p>
    <w:p>
      <w:pPr>
        <w:pStyle w:val="BodyText"/>
        <w:spacing w:before="5"/>
        <w:rPr>
          <w:b/>
          <w:sz w:val="20"/>
        </w:rPr>
      </w:pPr>
    </w:p>
    <w:p>
      <w:pPr>
        <w:spacing w:before="0"/>
        <w:ind w:left="160" w:right="0" w:firstLine="0"/>
        <w:jc w:val="left"/>
        <w:rPr>
          <w:sz w:val="24"/>
        </w:rPr>
      </w:pPr>
      <w:r>
        <w:rPr>
          <w:color w:val="303030"/>
          <w:sz w:val="24"/>
        </w:rPr>
        <w:t>The Telecommunications Division (TD) maintains and supports the majority of network access devices on the Rutgers (RUNet) and RBHS networks.</w:t>
      </w:r>
    </w:p>
    <w:p>
      <w:pPr>
        <w:pStyle w:val="BodyText"/>
        <w:spacing w:before="11"/>
        <w:rPr>
          <w:sz w:val="23"/>
        </w:rPr>
      </w:pPr>
    </w:p>
    <w:p>
      <w:pPr>
        <w:spacing w:before="0"/>
        <w:ind w:left="160" w:right="675" w:firstLine="0"/>
        <w:jc w:val="left"/>
        <w:rPr>
          <w:sz w:val="24"/>
        </w:rPr>
      </w:pPr>
      <w:r>
        <w:rPr>
          <w:color w:val="303030"/>
          <w:sz w:val="24"/>
        </w:rPr>
        <w:t>TD provides the following value added services for equipment purchased through its office: Inventory and stockroom management</w:t>
      </w:r>
    </w:p>
    <w:p>
      <w:pPr>
        <w:pStyle w:val="BodyText"/>
        <w:spacing w:before="11"/>
        <w:rPr>
          <w:sz w:val="23"/>
        </w:rPr>
      </w:pPr>
    </w:p>
    <w:p>
      <w:pPr>
        <w:pStyle w:val="ListParagraph"/>
        <w:numPr>
          <w:ilvl w:val="0"/>
          <w:numId w:val="1"/>
        </w:numPr>
        <w:tabs>
          <w:tab w:pos="879" w:val="left" w:leader="none"/>
          <w:tab w:pos="880" w:val="left" w:leader="none"/>
        </w:tabs>
        <w:spacing w:line="293" w:lineRule="exact" w:before="0" w:after="0"/>
        <w:ind w:left="880" w:right="0" w:hanging="360"/>
        <w:jc w:val="left"/>
        <w:rPr>
          <w:sz w:val="24"/>
        </w:rPr>
      </w:pPr>
      <w:r>
        <w:rPr>
          <w:color w:val="303030"/>
          <w:sz w:val="24"/>
        </w:rPr>
        <w:t>Remote device monitoring</w:t>
      </w:r>
      <w:r>
        <w:rPr>
          <w:color w:val="303030"/>
          <w:spacing w:val="-11"/>
          <w:sz w:val="24"/>
        </w:rPr>
        <w:t> </w:t>
      </w:r>
      <w:r>
        <w:rPr>
          <w:color w:val="303030"/>
          <w:sz w:val="24"/>
        </w:rPr>
        <w:t>services</w:t>
      </w:r>
    </w:p>
    <w:p>
      <w:pPr>
        <w:pStyle w:val="ListParagraph"/>
        <w:numPr>
          <w:ilvl w:val="0"/>
          <w:numId w:val="1"/>
        </w:numPr>
        <w:tabs>
          <w:tab w:pos="879" w:val="left" w:leader="none"/>
          <w:tab w:pos="880" w:val="left" w:leader="none"/>
        </w:tabs>
        <w:spacing w:line="293" w:lineRule="exact" w:before="0" w:after="0"/>
        <w:ind w:left="880" w:right="0" w:hanging="360"/>
        <w:jc w:val="left"/>
        <w:rPr>
          <w:sz w:val="24"/>
        </w:rPr>
      </w:pPr>
      <w:r>
        <w:rPr>
          <w:color w:val="303030"/>
          <w:sz w:val="24"/>
        </w:rPr>
        <w:t>Configuration management and</w:t>
      </w:r>
      <w:r>
        <w:rPr>
          <w:color w:val="303030"/>
          <w:spacing w:val="-10"/>
          <w:sz w:val="24"/>
        </w:rPr>
        <w:t> </w:t>
      </w:r>
      <w:r>
        <w:rPr>
          <w:color w:val="303030"/>
          <w:sz w:val="24"/>
        </w:rPr>
        <w:t>backup</w:t>
      </w:r>
    </w:p>
    <w:p>
      <w:pPr>
        <w:pStyle w:val="ListParagraph"/>
        <w:numPr>
          <w:ilvl w:val="0"/>
          <w:numId w:val="1"/>
        </w:numPr>
        <w:tabs>
          <w:tab w:pos="879" w:val="left" w:leader="none"/>
          <w:tab w:pos="880" w:val="left" w:leader="none"/>
        </w:tabs>
        <w:spacing w:line="293" w:lineRule="exact" w:before="0" w:after="0"/>
        <w:ind w:left="880" w:right="0" w:hanging="360"/>
        <w:jc w:val="left"/>
        <w:rPr>
          <w:sz w:val="24"/>
        </w:rPr>
      </w:pPr>
      <w:r>
        <w:rPr>
          <w:color w:val="303030"/>
          <w:sz w:val="24"/>
        </w:rPr>
        <w:t>On-site hardware replacement services for faulty</w:t>
      </w:r>
      <w:r>
        <w:rPr>
          <w:color w:val="303030"/>
          <w:spacing w:val="-14"/>
          <w:sz w:val="24"/>
        </w:rPr>
        <w:t> </w:t>
      </w:r>
      <w:r>
        <w:rPr>
          <w:color w:val="303030"/>
          <w:sz w:val="24"/>
        </w:rPr>
        <w:t>equipment</w:t>
      </w:r>
    </w:p>
    <w:p>
      <w:pPr>
        <w:pStyle w:val="ListParagraph"/>
        <w:numPr>
          <w:ilvl w:val="0"/>
          <w:numId w:val="1"/>
        </w:numPr>
        <w:tabs>
          <w:tab w:pos="879" w:val="left" w:leader="none"/>
          <w:tab w:pos="880" w:val="left" w:leader="none"/>
        </w:tabs>
        <w:spacing w:line="293" w:lineRule="exact" w:before="0" w:after="0"/>
        <w:ind w:left="880" w:right="0" w:hanging="360"/>
        <w:jc w:val="left"/>
        <w:rPr>
          <w:sz w:val="24"/>
        </w:rPr>
      </w:pPr>
      <w:r>
        <w:rPr>
          <w:color w:val="303030"/>
          <w:sz w:val="24"/>
        </w:rPr>
        <w:t>OS Software updates, maintenance releases, bug fixes, and minor and major</w:t>
      </w:r>
      <w:r>
        <w:rPr>
          <w:color w:val="303030"/>
          <w:spacing w:val="-18"/>
          <w:sz w:val="24"/>
        </w:rPr>
        <w:t> </w:t>
      </w:r>
      <w:r>
        <w:rPr>
          <w:color w:val="303030"/>
          <w:sz w:val="24"/>
        </w:rPr>
        <w:t>releases</w:t>
      </w:r>
    </w:p>
    <w:p>
      <w:pPr>
        <w:pStyle w:val="BodyText"/>
        <w:spacing w:before="9"/>
      </w:pPr>
      <w:r>
        <w:rPr/>
        <w:pict>
          <v:line style="position:absolute;mso-position-horizontal-relative:page;mso-position-vertical-relative:paragraph;z-index:0;mso-wrap-distance-left:0;mso-wrap-distance-right:0" from="70.559998pt,16.563030pt" to="541.439998pt,16.563030pt" stroked="true" strokeweight="3pt" strokecolor="#000000">
            <v:stroke dashstyle="dot"/>
            <w10:wrap type="topAndBottom"/>
          </v:line>
        </w:pict>
      </w:r>
    </w:p>
    <w:p>
      <w:pPr>
        <w:pStyle w:val="BodyText"/>
        <w:spacing w:before="3"/>
        <w:rPr>
          <w:sz w:val="13"/>
        </w:rPr>
      </w:pPr>
    </w:p>
    <w:p>
      <w:pPr>
        <w:spacing w:before="90"/>
        <w:ind w:left="160" w:right="0" w:firstLine="0"/>
        <w:jc w:val="left"/>
        <w:rPr>
          <w:sz w:val="24"/>
        </w:rPr>
      </w:pPr>
      <w:r>
        <w:rPr>
          <w:color w:val="303030"/>
          <w:sz w:val="24"/>
        </w:rPr>
        <w:t>For specific details, see:</w:t>
      </w:r>
    </w:p>
    <w:p>
      <w:pPr>
        <w:pStyle w:val="BodyText"/>
        <w:spacing w:before="4"/>
        <w:rPr>
          <w:sz w:val="24"/>
        </w:rPr>
      </w:pPr>
    </w:p>
    <w:p>
      <w:pPr>
        <w:spacing w:line="274" w:lineRule="exact" w:before="0"/>
        <w:ind w:left="160" w:right="0" w:firstLine="0"/>
        <w:jc w:val="left"/>
        <w:rPr>
          <w:b/>
          <w:i/>
          <w:sz w:val="24"/>
        </w:rPr>
      </w:pPr>
      <w:r>
        <w:rPr>
          <w:b/>
          <w:i/>
          <w:color w:val="303030"/>
          <w:sz w:val="24"/>
        </w:rPr>
        <w:t>Service/Support:</w:t>
      </w:r>
    </w:p>
    <w:p>
      <w:pPr>
        <w:spacing w:line="274" w:lineRule="exact" w:before="0"/>
        <w:ind w:left="160" w:right="0" w:firstLine="0"/>
        <w:jc w:val="left"/>
        <w:rPr>
          <w:sz w:val="24"/>
        </w:rPr>
      </w:pPr>
      <w:hyperlink r:id="rId7">
        <w:r>
          <w:rPr>
            <w:color w:val="0000FF"/>
            <w:sz w:val="24"/>
            <w:u w:val="single" w:color="0000FF"/>
          </w:rPr>
          <w:t>http://www.td.rutgers.edu/docs/data/network-devices-support-maintenance/</w:t>
        </w:r>
      </w:hyperlink>
    </w:p>
    <w:p>
      <w:pPr>
        <w:pStyle w:val="BodyText"/>
        <w:spacing w:before="7"/>
        <w:rPr>
          <w:sz w:val="16"/>
        </w:rPr>
      </w:pPr>
    </w:p>
    <w:p>
      <w:pPr>
        <w:spacing w:line="274" w:lineRule="exact" w:before="90"/>
        <w:ind w:left="160" w:right="0" w:firstLine="0"/>
        <w:jc w:val="left"/>
        <w:rPr>
          <w:b/>
          <w:i/>
          <w:sz w:val="24"/>
        </w:rPr>
      </w:pPr>
      <w:r>
        <w:rPr>
          <w:b/>
          <w:i/>
          <w:color w:val="303030"/>
          <w:sz w:val="24"/>
        </w:rPr>
        <w:t>RUWireless Billing:</w:t>
      </w:r>
    </w:p>
    <w:p>
      <w:pPr>
        <w:spacing w:line="274" w:lineRule="exact" w:before="0"/>
        <w:ind w:left="160" w:right="0" w:firstLine="0"/>
        <w:jc w:val="left"/>
        <w:rPr>
          <w:sz w:val="24"/>
        </w:rPr>
      </w:pPr>
      <w:hyperlink r:id="rId8">
        <w:r>
          <w:rPr>
            <w:color w:val="0000FF"/>
            <w:sz w:val="24"/>
            <w:u w:val="single" w:color="0000FF"/>
          </w:rPr>
          <w:t>http://www.td.rutgers.edu/docs/ruwireless-information/ruwireless-billing/</w:t>
        </w:r>
      </w:hyperlink>
    </w:p>
    <w:p>
      <w:pPr>
        <w:pStyle w:val="BodyText"/>
        <w:spacing w:before="7"/>
        <w:rPr>
          <w:sz w:val="16"/>
        </w:rPr>
      </w:pPr>
    </w:p>
    <w:p>
      <w:pPr>
        <w:spacing w:line="274" w:lineRule="exact" w:before="90"/>
        <w:ind w:left="160" w:right="0" w:firstLine="0"/>
        <w:jc w:val="left"/>
        <w:rPr>
          <w:b/>
          <w:i/>
          <w:sz w:val="24"/>
        </w:rPr>
      </w:pPr>
      <w:r>
        <w:rPr>
          <w:b/>
          <w:i/>
          <w:color w:val="303030"/>
          <w:sz w:val="24"/>
        </w:rPr>
        <w:t>Voice Billing:</w:t>
      </w:r>
    </w:p>
    <w:p>
      <w:pPr>
        <w:spacing w:line="240" w:lineRule="auto" w:before="0"/>
        <w:ind w:left="160" w:right="775" w:firstLine="0"/>
        <w:jc w:val="left"/>
        <w:rPr>
          <w:sz w:val="24"/>
        </w:rPr>
      </w:pPr>
      <w:hyperlink r:id="rId9">
        <w:r>
          <w:rPr>
            <w:color w:val="0000FF"/>
            <w:sz w:val="24"/>
            <w:u w:val="single" w:color="0000FF"/>
          </w:rPr>
          <w:t>http://www.td.rutgers.edu/projects/voip/voip-overview/voip-technical-solution/voip-voice-</w:t>
        </w:r>
      </w:hyperlink>
      <w:r>
        <w:rPr>
          <w:color w:val="0000FF"/>
          <w:sz w:val="24"/>
          <w:u w:val="single" w:color="0000FF"/>
        </w:rPr>
        <w:t> </w:t>
      </w:r>
      <w:hyperlink r:id="rId9">
        <w:r>
          <w:rPr>
            <w:color w:val="0000FF"/>
            <w:sz w:val="24"/>
            <w:u w:val="single" w:color="0000FF"/>
          </w:rPr>
          <w:t>billing/</w:t>
        </w:r>
      </w:hyperlink>
    </w:p>
    <w:sectPr>
      <w:type w:val="continuous"/>
      <w:pgSz w:w="12240" w:h="15840"/>
      <w:pgMar w:top="13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0" w:hanging="360"/>
      </w:pPr>
      <w:rPr>
        <w:rFonts w:hint="default" w:ascii="Symbol" w:hAnsi="Symbol" w:eastAsia="Symbol" w:cs="Symbol"/>
        <w:color w:val="303030"/>
        <w:w w:val="100"/>
        <w:sz w:val="24"/>
        <w:szCs w:val="24"/>
      </w:rPr>
    </w:lvl>
    <w:lvl w:ilvl="1">
      <w:start w:val="0"/>
      <w:numFmt w:val="bullet"/>
      <w:lvlText w:val="•"/>
      <w:lvlJc w:val="left"/>
      <w:pPr>
        <w:ind w:left="1760" w:hanging="360"/>
      </w:pPr>
      <w:rPr>
        <w:rFonts w:hint="default"/>
      </w:rPr>
    </w:lvl>
    <w:lvl w:ilvl="2">
      <w:start w:val="0"/>
      <w:numFmt w:val="bullet"/>
      <w:lvlText w:val="•"/>
      <w:lvlJc w:val="left"/>
      <w:pPr>
        <w:ind w:left="2640" w:hanging="360"/>
      </w:pPr>
      <w:rPr>
        <w:rFonts w:hint="default"/>
      </w:rPr>
    </w:lvl>
    <w:lvl w:ilvl="3">
      <w:start w:val="0"/>
      <w:numFmt w:val="bullet"/>
      <w:lvlText w:val="•"/>
      <w:lvlJc w:val="left"/>
      <w:pPr>
        <w:ind w:left="3520"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0" w:hanging="360"/>
      </w:pPr>
      <w:rPr>
        <w:rFonts w:hint="default"/>
      </w:rPr>
    </w:lvl>
    <w:lvl w:ilvl="7">
      <w:start w:val="0"/>
      <w:numFmt w:val="bullet"/>
      <w:lvlText w:val="•"/>
      <w:lvlJc w:val="left"/>
      <w:pPr>
        <w:ind w:left="7040" w:hanging="360"/>
      </w:pPr>
      <w:rPr>
        <w:rFonts w:hint="default"/>
      </w:rPr>
    </w:lvl>
    <w:lvl w:ilvl="8">
      <w:start w:val="0"/>
      <w:numFmt w:val="bullet"/>
      <w:lvlText w:val="•"/>
      <w:lvlJc w:val="left"/>
      <w:pPr>
        <w:ind w:left="79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79"/>
      <w:ind w:left="1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90" w:line="274" w:lineRule="exact"/>
      <w:ind w:left="16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spacing w:line="293"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d.rutgers.edu/" TargetMode="External"/><Relationship Id="rId6" Type="http://schemas.openxmlformats.org/officeDocument/2006/relationships/image" Target="media/image1.jpeg"/><Relationship Id="rId7" Type="http://schemas.openxmlformats.org/officeDocument/2006/relationships/hyperlink" Target="http://www.td.rutgers.edu/docs/data/network-devices-support-maintenance/" TargetMode="External"/><Relationship Id="rId8" Type="http://schemas.openxmlformats.org/officeDocument/2006/relationships/hyperlink" Target="http://www.td.rutgers.edu/docs/ruwireless-information/ruwireless-billing/" TargetMode="External"/><Relationship Id="rId9" Type="http://schemas.openxmlformats.org/officeDocument/2006/relationships/hyperlink" Target="http://www.td.rutgers.edu/projects/voip/voip-overview/voip-technical-solution/voip-voice-billin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2018-08-02T12:32:46Z</dcterms:created>
  <dcterms:modified xsi:type="dcterms:W3CDTF">2018-08-02T12:32:46Z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